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7506"/>
        <w:tblGridChange w:id="0">
          <w:tblGrid>
            <w:gridCol w:w="1560"/>
            <w:gridCol w:w="7506"/>
          </w:tblGrid>
        </w:tblGridChange>
      </w:tblGrid>
      <w:tr>
        <w:trPr>
          <w:cantSplit w:val="0"/>
          <w:trHeight w:val="434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70560" cy="865505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865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851"/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rtl w:val="0"/>
              </w:rPr>
              <w:t xml:space="preserve">ŠKOLA PLNÁ UMĚNÍ A SPORTU</w:t>
            </w:r>
          </w:p>
          <w:p w:rsidR="00000000" w:rsidDel="00000000" w:rsidP="00000000" w:rsidRDefault="00000000" w:rsidRPr="00000000" w14:paraId="00000004">
            <w:pPr>
              <w:tabs>
                <w:tab w:val="left" w:pos="851"/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rtl w:val="0"/>
              </w:rPr>
              <w:t xml:space="preserve">ŠKOLA, KTERÁ BAVÍ</w:t>
            </w:r>
          </w:p>
          <w:p w:rsidR="00000000" w:rsidDel="00000000" w:rsidP="00000000" w:rsidRDefault="00000000" w:rsidRPr="00000000" w14:paraId="00000005">
            <w:pPr>
              <w:tabs>
                <w:tab w:val="left" w:pos="851"/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Quattrocento Sans" w:cs="Quattrocento Sans" w:eastAsia="Quattrocento Sans" w:hAnsi="Quattrocento San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 ECON – Střední škola a vyšší odborná škola Praha, s. r. 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Maturitní práce</w:t>
              <w:br w:type="textWrapping"/>
              <w:t xml:space="preserve">Název maturitní práce</w:t>
            </w:r>
          </w:p>
        </w:tc>
      </w:tr>
      <w:tr>
        <w:trPr>
          <w:cantSplit w:val="0"/>
          <w:trHeight w:val="4343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 a příjmení: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Studijní obor: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Vedoucí práce: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 odevzdání: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-8432799</wp:posOffset>
                </wp:positionV>
                <wp:extent cx="3284220" cy="355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03890" y="3762220"/>
                          <a:ext cx="3284220" cy="35560"/>
                          <a:chOff x="3703890" y="3762220"/>
                          <a:chExt cx="3284220" cy="35560"/>
                        </a:xfrm>
                      </wpg:grpSpPr>
                      <wpg:grpSp>
                        <wpg:cNvGrpSpPr/>
                        <wpg:grpSpPr>
                          <a:xfrm>
                            <a:off x="3703890" y="3762220"/>
                            <a:ext cx="3284220" cy="35560"/>
                            <a:chOff x="0" y="0"/>
                            <a:chExt cx="3284220" cy="35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84200" cy="3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51255" cy="35560"/>
                            </a:xfrm>
                            <a:prstGeom prst="rect">
                              <a:avLst/>
                            </a:prstGeom>
                            <a:solidFill>
                              <a:srgbClr val="C63D7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81075" y="0"/>
                              <a:ext cx="1151255" cy="35560"/>
                            </a:xfrm>
                            <a:prstGeom prst="rect">
                              <a:avLst/>
                            </a:prstGeom>
                            <a:solidFill>
                              <a:srgbClr val="D3C60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133600" y="0"/>
                              <a:ext cx="1150620" cy="35560"/>
                            </a:xfrm>
                            <a:prstGeom prst="rect">
                              <a:avLst/>
                            </a:prstGeom>
                            <a:solidFill>
                              <a:srgbClr val="137D7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-8432799</wp:posOffset>
                </wp:positionV>
                <wp:extent cx="3284220" cy="3556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4220" cy="35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1302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Prohlašuji, že jsem maturitní práci vypracoval/a samostatně s využitím uvedených pramenů a literatury.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vlastnoruční podpis autora maturitní práce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128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Děkuji … </w:t>
            </w:r>
            <w:r w:rsidDel="00000000" w:rsidR="00000000" w:rsidRPr="00000000">
              <w:rPr>
                <w:rtl w:val="0"/>
              </w:rPr>
              <w:t xml:space="preserve">(např. Děkuji vedoucímu práce, za čas, který mi věnoval.)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6838" w:w="11906" w:orient="portrait"/>
          <w:pgMar w:bottom="1418" w:top="1418" w:left="1985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Obsah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060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Úvod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060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Vlastní kapitola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060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Vlastní kapitola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0"/>
            </w:tabs>
            <w:spacing w:after="100" w:before="0" w:line="360" w:lineRule="auto"/>
            <w:ind w:left="2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Podkapitola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060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Závěr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060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 použité literatury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060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 příloh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Úvod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 slouží pro objasnění a zdůvodnění výběru daného tématu. Čtenáře má uvést do problematiky a blíže popsat předmět maturitní práce. Úvod se píše v budoucím čase. Součástí úvodu jsou i základní teze, které má maturitní práce potvrdit nebo vyvrátit. Na ně je potřeba odpovědět v závěru práce.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úvodu by mělo být sděleno: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budete dělat – napište vlastními slovy zadání,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si práci rozdělíte a čemu se budete v jednotlivých částech věnovat,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jakým způsobem realizujete případnou praktickou část (například dotazník nebo vytvoření fotomontáže),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proč to budete dělat,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jaký je cíl vaší práce,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jaká máte případná očekávání,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použijete zdroje.</w:t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ind w:left="432" w:hanging="43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Vlastní kapitola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 kapitoly by měly obsahovat přímé citace a parafráze.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Abyste mohli správně citovat, potřebujete předně vědět, co je třeba ocitovat a co ne. Platí, že se necitují poznatky a myšlenky, k nimž jste dospěli sami, a všeobecně známá fakta. Problém může dělat zvláště odlišení toho, co je všeobecně známé. Do této kategorie je řazeno vše, co spadá do všeobecného vzdělání, a základy daného oboru, ke kterému se text vztahuje. Šanderová a Miltová (2005) uvádí, že „p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 studenty je při citování nejobtížnější se rozhodnout, co patří mezi základní poznatky oboru.“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ale převezmete doslovně celou část textu, která se týká všeobecně známých faktů, citovat již musíte. Při citování je přípustné v celku citovat maximálně jeden odstavec z jednoho zdroje. Poté je vhodné zařadit vlastní text, případně citaci z jiného zdroje. Pak je možné opět se vrátit k citování prvního zdroje.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301.09090909090907" w:lineRule="auto"/>
        <w:rPr/>
      </w:pPr>
      <w:r w:rsidDel="00000000" w:rsidR="00000000" w:rsidRPr="00000000">
        <w:rPr>
          <w:rtl w:val="0"/>
        </w:rPr>
        <w:t xml:space="preserve">Pro tuto práci je doporučeno citování formou číselného odkazu.</w:t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Odkaz v textu: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 bibliografické citace odkazujeme pořadovým číslem poznámky. Číslo musíme odlišit od vlastního textu buď použitím horního indexu nebo závorek (kulatých či hranatých).</w:t>
      </w:r>
    </w:p>
    <w:p w:rsidR="00000000" w:rsidDel="00000000" w:rsidP="00000000" w:rsidRDefault="00000000" w:rsidRPr="00000000" w14:paraId="00000030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Příklad odkazů v textu: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Změnu odkazů lze provést několika způsoby. Jednou z možností je trvalé přepsání odkazů přímo v kódu stránek, což je poměrně snadné uvnitř HTML, ale uvnitř komplexních skriptů je to téměř neřešitelný problém problém</w:t>
      </w:r>
      <w:r w:rsidDel="00000000" w:rsidR="00000000" w:rsidRPr="00000000">
        <w:rPr>
          <w:color w:val="0000ff"/>
          <w:sz w:val="22"/>
          <w:szCs w:val="22"/>
          <w:vertAlign w:val="superscript"/>
          <w:rtl w:val="0"/>
        </w:rPr>
        <w:t xml:space="preserve">32</w:t>
      </w: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Druhou možností je ponechat odkazy v původní podobě a změnu provádět dynamicky, „na vyžádání“, při prohlížení stránek v archivu, např. pomocí JavaScriptu</w:t>
      </w:r>
      <w:r w:rsidDel="00000000" w:rsidR="00000000" w:rsidRPr="00000000">
        <w:rPr>
          <w:color w:val="0000ff"/>
          <w:sz w:val="26"/>
          <w:szCs w:val="26"/>
          <w:vertAlign w:val="superscript"/>
          <w:rtl w:val="0"/>
        </w:rPr>
        <w:t xml:space="preserve">33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V poznámkách pod čarou nebo na konci dokumentu</w:t>
      </w:r>
      <w:r w:rsidDel="00000000" w:rsidR="00000000" w:rsidRPr="00000000">
        <w:rPr>
          <w:rtl w:val="0"/>
        </w:rPr>
        <w:t xml:space="preserve">, jsou odkazy v pořadí, v jakém je na ně odkazováno v textu.</w:t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ROCHE, Xavier. Copying Websites. In: Julien MASANÈS, ed. </w:t>
      </w:r>
      <w:r w:rsidDel="00000000" w:rsidR="00000000" w:rsidRPr="00000000">
        <w:rPr>
          <w:i w:val="1"/>
          <w:rtl w:val="0"/>
        </w:rPr>
        <w:t xml:space="preserve">Web Archiving</w:t>
      </w:r>
      <w:r w:rsidDel="00000000" w:rsidR="00000000" w:rsidRPr="00000000">
        <w:rPr>
          <w:rtl w:val="0"/>
        </w:rPr>
        <w:t xml:space="preserve">. Berlín: Springer, 2006, s. 93–114. ISBN 978‑3‑540‑23338‑1. </w:t>
      </w:r>
      <w:r w:rsidDel="00000000" w:rsidR="00000000" w:rsidRPr="00000000">
        <w:rPr>
          <w:color w:val="0000ff"/>
          <w:rtl w:val="0"/>
        </w:rPr>
        <w:t xml:space="preserve">S. 97–98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MASANÈS, Julien. Web Archiving: Issues and Methods. In: Julien MASANÈS, ed. </w:t>
      </w:r>
      <w:r w:rsidDel="00000000" w:rsidR="00000000" w:rsidRPr="00000000">
        <w:rPr>
          <w:i w:val="1"/>
          <w:rtl w:val="0"/>
        </w:rPr>
        <w:t xml:space="preserve">Web Archiving</w:t>
      </w:r>
      <w:r w:rsidDel="00000000" w:rsidR="00000000" w:rsidRPr="00000000">
        <w:rPr>
          <w:rtl w:val="0"/>
        </w:rPr>
        <w:t xml:space="preserve">. Berlín: Springer, 2006, s. 1–53. ISBN 978‑3‑540‑23338‑1. </w:t>
      </w:r>
      <w:r w:rsidDel="00000000" w:rsidR="00000000" w:rsidRPr="00000000">
        <w:rPr>
          <w:color w:val="0000ff"/>
          <w:rtl w:val="0"/>
        </w:rPr>
        <w:t xml:space="preserve">S. 34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BOYKO, Andrew. </w:t>
      </w:r>
      <w:r w:rsidDel="00000000" w:rsidR="00000000" w:rsidRPr="00000000">
        <w:rPr>
          <w:i w:val="1"/>
          <w:rtl w:val="0"/>
        </w:rPr>
        <w:t xml:space="preserve">Test Bed Taxonomy for Trawler</w:t>
      </w:r>
      <w:r w:rsidDel="00000000" w:rsidR="00000000" w:rsidRPr="00000000">
        <w:rPr>
          <w:rtl w:val="0"/>
        </w:rPr>
        <w:t xml:space="preserve"> [online]. 2004 [cit. 25. 11. 2009]. Dostupné z: </w:t>
      </w:r>
      <w:hyperlink r:id="rId15">
        <w:r w:rsidDel="00000000" w:rsidR="00000000" w:rsidRPr="00000000">
          <w:rPr>
            <w:u w:val="single"/>
            <w:rtl w:val="0"/>
          </w:rPr>
          <w:t xml:space="preserve">http://www.netpreserve.org/publications/iipc‑r‑002.pdf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shd w:fill="ffffff" w:val="clear"/>
        <w:spacing w:line="280.145454545454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Poznámky nemusejí obsahovat jen odkazy na literatutru. 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Jedna poznámka může obsahovat odkazy na více zdrojů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Příklad odkazů v textu: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Ne vždy dochází k úplnému zániku obsahu stránek a trvalé ztrátě informací. Často jde pouze o přesun na jinou adresu, ať už v rámci původní domény nebo na jinou doménu. Jedná se o problém trvalosti odkazů – v angličtině se pro tyto případy používá termín „zahnívání“ odkazů (link rot). V takovém případě je častokrát možné obsah dohledat pomocí vyhledávačů či jinými prostředky. Např. studie Lawrence odhalila 53 % neplatných odkazů po šesti letech od publikování</w:t>
      </w:r>
      <w:r w:rsidDel="00000000" w:rsidR="00000000" w:rsidRPr="00000000">
        <w:rPr>
          <w:color w:val="0000ff"/>
          <w:vertAlign w:val="superscript"/>
          <w:rtl w:val="0"/>
        </w:rPr>
        <w:t xml:space="preserve">13</w:t>
      </w:r>
      <w:r w:rsidDel="00000000" w:rsidR="00000000" w:rsidRPr="00000000">
        <w:rPr>
          <w:rtl w:val="0"/>
        </w:rPr>
        <w:t xml:space="preserve">. Většina z těchto dokumentů však byla stále dostupných na jiných URL a bylo možno nalézt buď originální dokument nebo alespoň související informace. Pouhá 3 % dokumentů se nepodařilo objevit vůbec. Několik dalších podobně zaměřených studií pro lékařské a vědecké časopisy také dochází k podobným závěrům, že volatilita (nestálost) odkazů je větší než volatilita samotného obsahu</w:t>
      </w:r>
      <w:r w:rsidDel="00000000" w:rsidR="00000000" w:rsidRPr="00000000">
        <w:rPr>
          <w:color w:val="0000ff"/>
          <w:vertAlign w:val="superscript"/>
          <w:rtl w:val="0"/>
        </w:rPr>
        <w:t xml:space="preserve">14</w:t>
      </w:r>
      <w:r w:rsidDel="00000000" w:rsidR="00000000" w:rsidRPr="00000000">
        <w:rPr>
          <w:rtl w:val="0"/>
        </w:rPr>
        <w:t xml:space="preserve">. Je tedy nutno rozlišovat mezi volatilitou webu a volatilitou URL.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LAWRENCE, Steve; PENNOCK, David; FLAKE, Garry; KROVETZ, Bob; COETZEE, Frans; GLOVER, Eric; NIELSEN, Finn; KRUGER, Andries; GILES, Lee. Persistence of Web References in Scientific Research. </w:t>
      </w:r>
      <w:r w:rsidDel="00000000" w:rsidR="00000000" w:rsidRPr="00000000">
        <w:rPr>
          <w:rtl w:val="0"/>
        </w:rPr>
        <w:t xml:space="preserve">IEEE Computer</w:t>
      </w:r>
      <w:r w:rsidDel="00000000" w:rsidR="00000000" w:rsidRPr="00000000">
        <w:rPr>
          <w:rtl w:val="0"/>
        </w:rPr>
        <w:t xml:space="preserve"> [online]. 2001, 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rtl w:val="0"/>
        </w:rPr>
        <w:t xml:space="preserve">(2), 26–31 [cit. 25. 11. 2009]. Dostupné z: http://www.searchlores.org/ library/ persi‑stence‑computer01.pdf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DELLAVALLE, Robert P.; HESTER, Eric J.; HEILIG, Lauren F.; DRAKE, Amanda L.; KUNTZMAN, Jeff W.; GRABER, Marla; SCHILLING, Lisa M. Going, Going, Gone: Lost Internet References. </w:t>
      </w:r>
      <w:r w:rsidDel="00000000" w:rsidR="00000000" w:rsidRPr="00000000">
        <w:rPr>
          <w:rtl w:val="0"/>
        </w:rPr>
        <w:t xml:space="preserve">Science.</w:t>
      </w:r>
      <w:r w:rsidDel="00000000" w:rsidR="00000000" w:rsidRPr="00000000">
        <w:rPr>
          <w:rtl w:val="0"/>
        </w:rPr>
        <w:t xml:space="preserve"> 2003, </w:t>
      </w:r>
      <w:r w:rsidDel="00000000" w:rsidR="00000000" w:rsidRPr="00000000">
        <w:rPr>
          <w:rtl w:val="0"/>
        </w:rPr>
        <w:t xml:space="preserve">302</w:t>
      </w:r>
      <w:r w:rsidDel="00000000" w:rsidR="00000000" w:rsidRPr="00000000">
        <w:rPr>
          <w:rtl w:val="0"/>
        </w:rPr>
        <w:t xml:space="preserve">(5646), 787–788. ISSN 0036‑8075. Dostupné též online: DOI 10.1126/science.1088234WREN, Jonathan D. URL Decay in MEDLINE – a 4‑year Follow‑up Study. </w:t>
      </w:r>
      <w:r w:rsidDel="00000000" w:rsidR="00000000" w:rsidRPr="00000000">
        <w:rPr>
          <w:rtl w:val="0"/>
        </w:rPr>
        <w:t xml:space="preserve">Bioinformatics</w:t>
      </w:r>
      <w:r w:rsidDel="00000000" w:rsidR="00000000" w:rsidRPr="00000000">
        <w:rPr>
          <w:rtl w:val="0"/>
        </w:rPr>
        <w:t xml:space="preserve"> 2008,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tl w:val="0"/>
        </w:rPr>
        <w:t xml:space="preserve">(11), 1381–85. ISSN 1367‑4803.</w:t>
      </w:r>
    </w:p>
    <w:p w:rsidR="00000000" w:rsidDel="00000000" w:rsidP="00000000" w:rsidRDefault="00000000" w:rsidRPr="00000000" w14:paraId="00000044">
      <w:pPr>
        <w:shd w:fill="ffffff" w:val="clear"/>
        <w:spacing w:line="280.1454545454546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První odkaz musí obsahovat buď celou bibliografickou citaci (zpravidla u kratších prací) nebo u rozsáhlejších prací, které obsahují zvláštní seznam literatury, musí obsahovat tolik údajů, aby byla zajištěna </w:t>
      </w:r>
      <w:r w:rsidDel="00000000" w:rsidR="00000000" w:rsidRPr="00000000">
        <w:rPr>
          <w:b w:val="1"/>
          <w:rtl w:val="0"/>
        </w:rPr>
        <w:t xml:space="preserve">provázanost odkazu, poznámky a soupisu literatury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Poznámky pod čarou: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MASANÈS, Julien. Web archiving: Issues and Methods. </w:t>
      </w:r>
      <w:r w:rsidDel="00000000" w:rsidR="00000000" w:rsidRPr="00000000">
        <w:rPr>
          <w:color w:val="0000ff"/>
          <w:rtl w:val="0"/>
        </w:rPr>
        <w:t xml:space="preserve">S. 15.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MAKI. The Future of Content in the Age of Information Overload.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hd w:fill="ffffff" w:val="clear"/>
        <w:spacing w:line="280.1454545454546" w:lineRule="auto"/>
        <w:ind w:left="720" w:hanging="36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MASANÈS, </w:t>
      </w:r>
      <w:r w:rsidDel="00000000" w:rsidR="00000000" w:rsidRPr="00000000">
        <w:rPr>
          <w:color w:val="0000ff"/>
          <w:rtl w:val="0"/>
        </w:rPr>
        <w:t xml:space="preserve">pozn. 10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ff"/>
          <w:rtl w:val="0"/>
        </w:rPr>
        <w:t xml:space="preserve">s. 15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Soupis literatury: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hd w:fill="ffffff" w:val="clear"/>
        <w:spacing w:line="280.1454545454546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MAKI. The Future of Content in the Age of Information Overload. </w:t>
      </w:r>
      <w:r w:rsidDel="00000000" w:rsidR="00000000" w:rsidRPr="00000000">
        <w:rPr>
          <w:i w:val="1"/>
          <w:rtl w:val="0"/>
        </w:rPr>
        <w:t xml:space="preserve">Dosh Dosh</w:t>
      </w:r>
      <w:r w:rsidDel="00000000" w:rsidR="00000000" w:rsidRPr="00000000">
        <w:rPr>
          <w:rtl w:val="0"/>
        </w:rPr>
        <w:t xml:space="preserve"> [online]. 2008 [cit. 25. 11. 2009]. Dostupné z: </w:t>
      </w:r>
      <w:hyperlink r:id="rId16">
        <w:r w:rsidDel="00000000" w:rsidR="00000000" w:rsidRPr="00000000">
          <w:rPr>
            <w:u w:val="single"/>
            <w:rtl w:val="0"/>
          </w:rPr>
          <w:t xml:space="preserve">http://www.doshdosh.com/future-of-content-in-the-age-of-information-overload/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hd w:fill="ffffff" w:val="clear"/>
        <w:spacing w:line="280.1454545454546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MASANÈS, Julien. Web Archiving: Issues and Methods. In: Julien MASANÈS, ed. </w:t>
      </w:r>
      <w:r w:rsidDel="00000000" w:rsidR="00000000" w:rsidRPr="00000000">
        <w:rPr>
          <w:i w:val="1"/>
          <w:rtl w:val="0"/>
        </w:rPr>
        <w:t xml:space="preserve">Web Archiving</w:t>
      </w:r>
      <w:r w:rsidDel="00000000" w:rsidR="00000000" w:rsidRPr="00000000">
        <w:rPr>
          <w:rtl w:val="0"/>
        </w:rPr>
        <w:t xml:space="preserve">. Berlín: Springer, 2006, 1–53. ISBN 978‑3‑540‑23338‑1.</w:t>
      </w:r>
    </w:p>
    <w:p w:rsidR="00000000" w:rsidDel="00000000" w:rsidP="00000000" w:rsidRDefault="00000000" w:rsidRPr="00000000" w14:paraId="00000050">
      <w:pPr>
        <w:shd w:fill="ffffff" w:val="clear"/>
        <w:spacing w:line="256.8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Poznámky pod čarou (nebo na konci dokumentu) jsou řazeny tak, jak se odkazy vyskytují v textu. Soupis literatury je řazen podle abecedy.</w:t>
      </w:r>
    </w:p>
    <w:p w:rsidR="00000000" w:rsidDel="00000000" w:rsidP="00000000" w:rsidRDefault="00000000" w:rsidRPr="00000000" w14:paraId="00000053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Skvělým pomocníkem vám v tom bude stránka http://generator.citace.com.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1"/>
        </w:numPr>
        <w:ind w:left="432" w:hanging="43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Vlastní kapitola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Samozřejmostí je nutnost dodržovat pravidla českého pravopisu a typografická pravidla.</w:t>
      </w:r>
    </w:p>
    <w:p w:rsidR="00000000" w:rsidDel="00000000" w:rsidP="00000000" w:rsidRDefault="00000000" w:rsidRPr="00000000" w14:paraId="00000057">
      <w:pPr>
        <w:pStyle w:val="Heading2"/>
        <w:numPr>
          <w:ilvl w:val="1"/>
          <w:numId w:val="1"/>
        </w:numPr>
        <w:ind w:left="576" w:hanging="576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Podkapitola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</w:t>
      </w:r>
    </w:p>
    <w:p w:rsidR="00000000" w:rsidDel="00000000" w:rsidP="00000000" w:rsidRDefault="00000000" w:rsidRPr="00000000" w14:paraId="00000059">
      <w:pPr>
        <w:pStyle w:val="Heading1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Závěr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 obsahující jedinou větu: „Práce se mi velmi líbila“ je naprosto nedostatečný.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 práce by měl do jisté míry korespondovat s úvodem. Píše se v minulém čase.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závěru popíšete, jak byly naplněny cíle popsané v úvodu. Je vhodné znovu zopakovat, co bylo cílem práce a stručně uvést, jakým způsobem byl tento cíl naplněn (k jakým výsledkům jste došli, jak jste postupovali) – pokud nebylo možné splnit všechny dílčí cíle, pak by nemělo chybět zdůvodnění.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vhodné zrekapitulovat všechny nejdůležitější výsledky, které byly zjištěny, a vysvětlit, jaký mají význam.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poslední části závěru lze uvést možné varianty rozšíření stávající práce - další výzkumné oblasti, které s problematikou souvisejí, ale které stanovený rámec práce převyšují.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 by měl být důstojným ukončením práce a měl by být psán v minulém čase.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Seznam použité literatury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ECO, Umberto.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napsat diplomovou práci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Olomouc: Votobia, 1997. Velká řada (Votobia). ISBN 80-719-8173-7.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ŠANDEROVÁ, Jadwiga a Alena MILTOVÁ.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číst a psát odborný text ve společenských vědách: několik zásad pro začátečníky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Praha: Sociologické nakladatelství, 2005. Studijní texty (Sociologické nakladatelství), 34. svazek. ISBN 978-80-86429-40-3.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Seznam příloh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Příloha I – popis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Příloha II. – popis</w:t>
      </w:r>
    </w:p>
    <w:p w:rsidR="00000000" w:rsidDel="00000000" w:rsidP="00000000" w:rsidRDefault="00000000" w:rsidRPr="00000000" w14:paraId="00000068">
      <w:pPr>
        <w:rPr/>
        <w:sectPr>
          <w:footerReference r:id="rId17" w:type="default"/>
          <w:type w:val="nextPage"/>
          <w:pgSz w:h="16838" w:w="11906" w:orient="portrait"/>
          <w:pgMar w:bottom="1418" w:top="1418" w:left="1985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1"/>
        <w:pageBreakBefore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Příloha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Přílohy vkládáme na konec práce a v textu odkazujeme např. na přílohu I.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Přílohy číslujeme za sebou římskými číslicemi od první do poslední.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příloh zařazujeme takový materiál, který je důležitý pro pochopení celé práce, jehož uvedení v textu by však čtenáře rušilo. Jedná se o pomocné tabulky, grafy, obrázky, texty použitých dotazníků, fotografický materiál, fotokopie archiválií apod.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Přílohy musí být okomentovány.</w:t>
      </w:r>
    </w:p>
    <w:p w:rsidR="00000000" w:rsidDel="00000000" w:rsidP="00000000" w:rsidRDefault="00000000" w:rsidRPr="00000000" w14:paraId="0000006E">
      <w:pPr>
        <w:keepNext w:val="1"/>
        <w:keepLines w:val="1"/>
        <w:pageBreakBefore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Příloha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8" w:type="default"/>
      <w:type w:val="nextPage"/>
      <w:pgSz w:h="16838" w:w="11906" w:orient="portrait"/>
      <w:pgMar w:bottom="1418" w:top="1418" w:left="1985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line="276" w:lineRule="auto"/>
      <w:ind w:left="431" w:hanging="431"/>
      <w:jc w:val="left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="276" w:lineRule="auto"/>
      <w:ind w:left="0" w:firstLine="0"/>
      <w:jc w:val="left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  <w:ind w:left="720" w:hanging="720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sz w:val="56"/>
      <w:szCs w:val="56"/>
    </w:rPr>
  </w:style>
  <w:style w:type="paragraph" w:styleId="Normln" w:default="1">
    <w:name w:val="Normal"/>
    <w:qFormat w:val="1"/>
    <w:rsid w:val="00C3716F"/>
    <w:pPr>
      <w:spacing w:after="0" w:line="360" w:lineRule="auto"/>
      <w:jc w:val="both"/>
    </w:pPr>
    <w:rPr>
      <w:rFonts w:ascii="Times New Roman" w:cs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2672EE"/>
    <w:pPr>
      <w:keepNext w:val="1"/>
      <w:keepLines w:val="1"/>
      <w:pageBreakBefore w:val="1"/>
      <w:numPr>
        <w:numId w:val="4"/>
      </w:numPr>
      <w:spacing w:after="240" w:line="276" w:lineRule="auto"/>
      <w:ind w:left="431" w:hanging="431"/>
      <w:jc w:val="left"/>
      <w:outlineLvl w:val="0"/>
    </w:pPr>
    <w:rPr>
      <w:rFonts w:eastAsiaTheme="majorEastAsia"/>
      <w:b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2672EE"/>
    <w:pPr>
      <w:keepNext w:val="1"/>
      <w:keepLines w:val="1"/>
      <w:numPr>
        <w:ilvl w:val="1"/>
        <w:numId w:val="4"/>
      </w:numPr>
      <w:spacing w:after="120" w:before="120" w:line="276" w:lineRule="auto"/>
      <w:ind w:left="0" w:firstLine="0"/>
      <w:jc w:val="left"/>
      <w:outlineLvl w:val="1"/>
    </w:pPr>
    <w:rPr>
      <w:rFonts w:eastAsiaTheme="majorEastAsia"/>
      <w:b w:val="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BF02F2"/>
    <w:pPr>
      <w:keepNext w:val="1"/>
      <w:keepLines w:val="1"/>
      <w:numPr>
        <w:ilvl w:val="2"/>
        <w:numId w:val="4"/>
      </w:numPr>
      <w:spacing w:before="120"/>
      <w:jc w:val="left"/>
      <w:outlineLvl w:val="2"/>
    </w:pPr>
    <w:rPr>
      <w:rFonts w:eastAsiaTheme="majorEastAsia"/>
      <w:b w:val="1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rsid w:val="001B2F4A"/>
    <w:pPr>
      <w:keepNext w:val="1"/>
      <w:keepLines w:val="1"/>
      <w:numPr>
        <w:ilvl w:val="3"/>
        <w:numId w:val="4"/>
      </w:numPr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1B2F4A"/>
    <w:pPr>
      <w:keepNext w:val="1"/>
      <w:keepLines w:val="1"/>
      <w:numPr>
        <w:ilvl w:val="4"/>
        <w:numId w:val="4"/>
      </w:numPr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1B2F4A"/>
    <w:pPr>
      <w:keepNext w:val="1"/>
      <w:keepLines w:val="1"/>
      <w:numPr>
        <w:ilvl w:val="5"/>
        <w:numId w:val="4"/>
      </w:numPr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1B2F4A"/>
    <w:pPr>
      <w:keepNext w:val="1"/>
      <w:keepLines w:val="1"/>
      <w:numPr>
        <w:ilvl w:val="6"/>
        <w:numId w:val="4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1B2F4A"/>
    <w:pPr>
      <w:keepNext w:val="1"/>
      <w:keepLines w:val="1"/>
      <w:numPr>
        <w:ilvl w:val="7"/>
        <w:numId w:val="4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1B2F4A"/>
    <w:pPr>
      <w:keepNext w:val="1"/>
      <w:keepLines w:val="1"/>
      <w:numPr>
        <w:ilvl w:val="8"/>
        <w:numId w:val="4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odsazen" w:customStyle="1">
    <w:name w:val="bez odsazení"/>
    <w:basedOn w:val="Normln"/>
    <w:link w:val="bezodsazenChar"/>
    <w:qFormat w:val="1"/>
    <w:rsid w:val="002672EE"/>
    <w:pPr>
      <w:spacing w:after="120" w:line="276" w:lineRule="auto"/>
    </w:pPr>
  </w:style>
  <w:style w:type="table" w:styleId="Mkatabulky">
    <w:name w:val="Table Grid"/>
    <w:basedOn w:val="Normlntabulka"/>
    <w:uiPriority w:val="39"/>
    <w:rsid w:val="00FA6AF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ezodsazenChar" w:customStyle="1">
    <w:name w:val="bez odsazení Char"/>
    <w:basedOn w:val="Standardnpsmoodstavce"/>
    <w:link w:val="bezodsazen"/>
    <w:rsid w:val="002672EE"/>
    <w:rPr>
      <w:rFonts w:ascii="Times New Roman" w:cs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 w:val="1"/>
    <w:rsid w:val="006D08E4"/>
    <w:pPr>
      <w:spacing w:line="240" w:lineRule="auto"/>
      <w:contextualSpacing w:val="1"/>
      <w:jc w:val="center"/>
    </w:pPr>
    <w:rPr>
      <w:rFonts w:eastAsia="Times New Roman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6D08E4"/>
    <w:rPr>
      <w:rFonts w:ascii="Times New Roman" w:cs="Times New Roman" w:eastAsia="Times New Roman" w:hAnsi="Times New Roman"/>
      <w:spacing w:val="-10"/>
      <w:kern w:val="28"/>
      <w:sz w:val="56"/>
      <w:szCs w:val="56"/>
      <w:lang w:eastAsia="cs-CZ"/>
    </w:rPr>
  </w:style>
  <w:style w:type="character" w:styleId="Nadpis1Char" w:customStyle="1">
    <w:name w:val="Nadpis 1 Char"/>
    <w:basedOn w:val="Standardnpsmoodstavce"/>
    <w:link w:val="Nadpis1"/>
    <w:uiPriority w:val="9"/>
    <w:rsid w:val="002672EE"/>
    <w:rPr>
      <w:rFonts w:ascii="Times New Roman" w:cs="Times New Roman" w:hAnsi="Times New Roman" w:eastAsiaTheme="majorEastAsia"/>
      <w:b w:val="1"/>
      <w:sz w:val="32"/>
      <w:szCs w:val="32"/>
      <w:lang w:eastAsia="cs-CZ"/>
    </w:rPr>
  </w:style>
  <w:style w:type="paragraph" w:styleId="Plohy" w:customStyle="1">
    <w:name w:val="Přílohy"/>
    <w:basedOn w:val="Nadpis1"/>
    <w:link w:val="PlohyChar"/>
    <w:rsid w:val="00BF02F2"/>
    <w:pPr>
      <w:numPr>
        <w:numId w:val="3"/>
      </w:numPr>
      <w:spacing w:after="120"/>
    </w:pPr>
  </w:style>
  <w:style w:type="character" w:styleId="Nadpis2Char" w:customStyle="1">
    <w:name w:val="Nadpis 2 Char"/>
    <w:basedOn w:val="Standardnpsmoodstavce"/>
    <w:link w:val="Nadpis2"/>
    <w:uiPriority w:val="9"/>
    <w:rsid w:val="002672EE"/>
    <w:rPr>
      <w:rFonts w:ascii="Times New Roman" w:cs="Times New Roman" w:hAnsi="Times New Roman" w:eastAsiaTheme="majorEastAsia"/>
      <w:b w:val="1"/>
      <w:sz w:val="26"/>
      <w:szCs w:val="26"/>
      <w:lang w:eastAsia="cs-CZ"/>
    </w:rPr>
  </w:style>
  <w:style w:type="character" w:styleId="PlohyChar" w:customStyle="1">
    <w:name w:val="Přílohy Char"/>
    <w:basedOn w:val="Nadpis1Char"/>
    <w:link w:val="Plohy"/>
    <w:rsid w:val="00BF02F2"/>
    <w:rPr>
      <w:rFonts w:ascii="Times New Roman" w:cs="Times New Roman" w:hAnsi="Times New Roman" w:eastAsiaTheme="majorEastAsia"/>
      <w:b w:val="1"/>
      <w:sz w:val="32"/>
      <w:szCs w:val="32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BF02F2"/>
    <w:rPr>
      <w:rFonts w:ascii="Times New Roman" w:cs="Times New Roman" w:hAnsi="Times New Roman" w:eastAsiaTheme="majorEastAsia"/>
      <w:b w:val="1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 w:val="1"/>
    <w:rsid w:val="006D08E4"/>
    <w:pPr>
      <w:jc w:val="left"/>
    </w:pPr>
    <w:rPr>
      <w:i w:val="1"/>
      <w:iCs w:val="1"/>
    </w:rPr>
  </w:style>
  <w:style w:type="character" w:styleId="CittChar" w:customStyle="1">
    <w:name w:val="Citát Char"/>
    <w:basedOn w:val="Standardnpsmoodstavce"/>
    <w:link w:val="Citt"/>
    <w:uiPriority w:val="29"/>
    <w:rsid w:val="006D08E4"/>
    <w:rPr>
      <w:rFonts w:ascii="Times New Roman" w:cs="Times New Roman" w:hAnsi="Times New Roman"/>
      <w:i w:val="1"/>
      <w:iCs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1B2F4A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B2F4A"/>
    <w:rPr>
      <w:rFonts w:ascii="Times New Roman" w:cs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1B2F4A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B2F4A"/>
    <w:rPr>
      <w:rFonts w:ascii="Times New Roman" w:cs="Times New Roman" w:hAnsi="Times New Roman"/>
      <w:sz w:val="24"/>
      <w:szCs w:val="24"/>
      <w:lang w:eastAsia="cs-CZ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1B2F4A"/>
    <w:rPr>
      <w:rFonts w:asciiTheme="majorHAnsi" w:cstheme="majorBidi" w:eastAsiaTheme="majorEastAsia" w:hAnsiTheme="majorHAnsi"/>
      <w:i w:val="1"/>
      <w:iCs w:val="1"/>
      <w:color w:val="2e74b5" w:themeColor="accent1" w:themeShade="0000BF"/>
      <w:sz w:val="24"/>
      <w:szCs w:val="24"/>
      <w:lang w:eastAsia="cs-CZ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1B2F4A"/>
    <w:rPr>
      <w:rFonts w:asciiTheme="majorHAnsi" w:cstheme="majorBidi" w:eastAsiaTheme="majorEastAsia" w:hAnsiTheme="majorHAnsi"/>
      <w:color w:val="2e74b5" w:themeColor="accent1" w:themeShade="0000BF"/>
      <w:sz w:val="24"/>
      <w:szCs w:val="24"/>
      <w:lang w:eastAsia="cs-CZ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1B2F4A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cs-CZ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1B2F4A"/>
    <w:rPr>
      <w:rFonts w:asciiTheme="majorHAnsi" w:cstheme="majorBidi" w:eastAsiaTheme="majorEastAsia" w:hAnsiTheme="majorHAnsi"/>
      <w:i w:val="1"/>
      <w:iCs w:val="1"/>
      <w:color w:val="1f4d78" w:themeColor="accent1" w:themeShade="00007F"/>
      <w:sz w:val="24"/>
      <w:szCs w:val="24"/>
      <w:lang w:eastAsia="cs-CZ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1B2F4A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eastAsia="cs-CZ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1B2F4A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 w:val="1"/>
    <w:qFormat w:val="1"/>
    <w:rsid w:val="00C3716F"/>
    <w:pPr>
      <w:pageBreakBefore w:val="0"/>
      <w:numPr>
        <w:numId w:val="0"/>
      </w:numPr>
      <w:spacing w:before="240" w:line="259" w:lineRule="auto"/>
      <w:outlineLvl w:val="9"/>
    </w:pPr>
    <w:rPr>
      <w:rFonts w:asciiTheme="majorHAnsi" w:cstheme="majorBidi" w:hAnsiTheme="majorHAnsi"/>
      <w:b w:val="0"/>
      <w:color w:val="2e74b5" w:themeColor="accent1" w:themeShade="0000BF"/>
    </w:rPr>
  </w:style>
  <w:style w:type="paragraph" w:styleId="Obsah1">
    <w:name w:val="toc 1"/>
    <w:basedOn w:val="Normln"/>
    <w:next w:val="Normln"/>
    <w:autoRedefine w:val="1"/>
    <w:uiPriority w:val="39"/>
    <w:unhideWhenUsed w:val="1"/>
    <w:rsid w:val="002672EE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 w:val="1"/>
    <w:uiPriority w:val="39"/>
    <w:unhideWhenUsed w:val="1"/>
    <w:rsid w:val="00C3716F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 w:val="1"/>
    <w:rsid w:val="00C3716F"/>
    <w:rPr>
      <w:color w:val="0563c1" w:themeColor="hyperlink"/>
      <w:u w:val="single"/>
    </w:rPr>
  </w:style>
  <w:style w:type="paragraph" w:styleId="nadpisnenvobsahu" w:customStyle="1">
    <w:name w:val="nadpis není v obsahu"/>
    <w:basedOn w:val="bezodsazen"/>
    <w:link w:val="nadpisnenvobsahuChar"/>
    <w:qFormat w:val="1"/>
    <w:rsid w:val="002672EE"/>
    <w:pPr>
      <w:keepNext w:val="1"/>
      <w:keepLines w:val="1"/>
      <w:pageBreakBefore w:val="1"/>
      <w:spacing w:after="240"/>
      <w:jc w:val="left"/>
    </w:pPr>
    <w:rPr>
      <w:b w:val="1"/>
      <w:sz w:val="32"/>
      <w:szCs w:val="32"/>
    </w:rPr>
  </w:style>
  <w:style w:type="paragraph" w:styleId="Ploha" w:customStyle="1">
    <w:name w:val="Příloha"/>
    <w:basedOn w:val="nadpisnenvobsahu"/>
    <w:link w:val="PlohaChar"/>
    <w:qFormat w:val="1"/>
    <w:rsid w:val="009E21AB"/>
    <w:pPr>
      <w:numPr>
        <w:numId w:val="5"/>
      </w:numPr>
      <w:ind w:left="714" w:hanging="357"/>
    </w:pPr>
  </w:style>
  <w:style w:type="character" w:styleId="nadpisnenvobsahuChar" w:customStyle="1">
    <w:name w:val="nadpis není v obsahu Char"/>
    <w:basedOn w:val="bezodsazenChar"/>
    <w:link w:val="nadpisnenvobsahu"/>
    <w:rsid w:val="002672EE"/>
    <w:rPr>
      <w:rFonts w:ascii="Times New Roman" w:cs="Times New Roman" w:hAnsi="Times New Roman"/>
      <w:b w:val="1"/>
      <w:sz w:val="32"/>
      <w:szCs w:val="32"/>
      <w:lang w:eastAsia="cs-CZ"/>
    </w:rPr>
  </w:style>
  <w:style w:type="paragraph" w:styleId="sodsazenm" w:customStyle="1">
    <w:name w:val="s odsazením"/>
    <w:basedOn w:val="bezodsazen"/>
    <w:link w:val="sodsazenmChar"/>
    <w:qFormat w:val="1"/>
    <w:rsid w:val="000D1361"/>
  </w:style>
  <w:style w:type="character" w:styleId="PlohaChar" w:customStyle="1">
    <w:name w:val="Příloha Char"/>
    <w:basedOn w:val="nadpisnenvobsahuChar"/>
    <w:link w:val="Ploha"/>
    <w:rsid w:val="009E21AB"/>
    <w:rPr>
      <w:rFonts w:ascii="Times New Roman" w:cs="Times New Roman" w:hAnsi="Times New Roman"/>
      <w:b w:val="1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3759D5"/>
    <w:pPr>
      <w:spacing w:line="240" w:lineRule="auto"/>
    </w:pPr>
    <w:rPr>
      <w:sz w:val="20"/>
      <w:szCs w:val="20"/>
    </w:rPr>
  </w:style>
  <w:style w:type="character" w:styleId="sodsazenmChar" w:customStyle="1">
    <w:name w:val="s odsazením Char"/>
    <w:basedOn w:val="bezodsazenChar"/>
    <w:link w:val="sodsazenm"/>
    <w:rsid w:val="000D1361"/>
    <w:rPr>
      <w:rFonts w:ascii="Times New Roman" w:cs="Times New Roman" w:hAnsi="Times New Roman"/>
      <w:sz w:val="24"/>
      <w:szCs w:val="24"/>
      <w:lang w:eastAsia="cs-CZ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3759D5"/>
    <w:rPr>
      <w:rFonts w:ascii="Times New Roman" w:cs="Times New Roman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3759D5"/>
    <w:rPr>
      <w:vertAlign w:val="superscript"/>
    </w:rPr>
  </w:style>
  <w:style w:type="paragraph" w:styleId="Odstavecseseznamem">
    <w:name w:val="List Paragraph"/>
    <w:basedOn w:val="Normln"/>
    <w:uiPriority w:val="34"/>
    <w:rsid w:val="003759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hyperlink" Target="http://www.netpreserve.org/publications/iipc-r-002.pdf" TargetMode="External"/><Relationship Id="rId14" Type="http://schemas.openxmlformats.org/officeDocument/2006/relationships/footer" Target="footer1.xml"/><Relationship Id="rId17" Type="http://schemas.openxmlformats.org/officeDocument/2006/relationships/footer" Target="footer5.xml"/><Relationship Id="rId16" Type="http://schemas.openxmlformats.org/officeDocument/2006/relationships/hyperlink" Target="http://web.archive.org/web/20081218231004/http://www.doshdosh.com/future-of-content-in-the-age-of-information-overload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HW7ZXtIbWefJZTGhmYizmfK0g==">AMUW2mVPoZvhd7S3Nj/cIRZz2DW10PZ33YNYTSJGVUPgkYi+uXTiA3BMYvfO8/6pj90QI9p4Ph7WEkRrKXD2BMEbvzuO56XiZeEJgnUAD40IWfdyRynTA4jWmk1EmTYXgPpRwPxcPjPRdvaObbSVM6K/ojvc7QM6DrYh/4zk3zVw3xlBr2PDRKQJuGWEFyzNHnP4msgvzYPqqPlTetiE1Puu4Qbg7lGxfiiTFamGu82e81QHeGyRqnI=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2022-09-27T10:31:00Z</dcterms:created>
</cp:coreProperties>
</file>